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4603">
      <w:pPr>
        <w:pStyle w:val="1"/>
        <w:divId w:val="980309510"/>
        <w:rPr>
          <w:rFonts w:hint="eastAsia"/>
        </w:rPr>
      </w:pPr>
      <w:r>
        <w:rPr>
          <w:rFonts w:hint="eastAsia"/>
        </w:rPr>
        <w:t>沈昀羲</w:t>
      </w:r>
    </w:p>
    <w:p w:rsidR="00254603" w:rsidRDefault="00254603" w:rsidP="00254603">
      <w:pPr>
        <w:pStyle w:val="3"/>
        <w:divId w:val="980309510"/>
        <w:rPr>
          <w:rFonts w:hint="eastAsia"/>
        </w:rPr>
      </w:pPr>
      <w:r>
        <w:rPr>
          <w:rStyle w:val="mw-headline"/>
          <w:rFonts w:hint="eastAsia"/>
        </w:rPr>
        <w:t>鄂圖曼</w:t>
      </w:r>
      <w:proofErr w:type="gramStart"/>
      <w:r>
        <w:rPr>
          <w:rStyle w:val="mw-headline"/>
          <w:rFonts w:hint="eastAsia"/>
        </w:rPr>
        <w:t>帝國伊茲尼克</w:t>
      </w:r>
      <w:proofErr w:type="gramEnd"/>
      <w:r>
        <w:rPr>
          <w:rStyle w:val="mw-headline"/>
          <w:rFonts w:hint="eastAsia"/>
        </w:rPr>
        <w:t>花卉盤</w:t>
      </w:r>
    </w:p>
    <w:p w:rsidR="00254603" w:rsidRDefault="00254603" w:rsidP="00254603">
      <w:pPr>
        <w:pStyle w:val="Web"/>
        <w:divId w:val="980309510"/>
        <w:rPr>
          <w:rFonts w:hint="eastAsia"/>
        </w:rPr>
      </w:pPr>
      <w:r>
        <w:rPr>
          <w:rFonts w:hint="eastAsia"/>
          <w:noProof/>
          <w:color w:val="0000FF"/>
        </w:rPr>
        <w:t>圖照</w:t>
      </w:r>
    </w:p>
    <w:p w:rsidR="00254603" w:rsidRDefault="00254603" w:rsidP="00254603">
      <w:pPr>
        <w:pStyle w:val="Web"/>
        <w:divId w:val="980309510"/>
        <w:rPr>
          <w:rFonts w:hint="eastAsia"/>
        </w:rPr>
      </w:pPr>
      <w:proofErr w:type="gramStart"/>
      <w:r>
        <w:rPr>
          <w:rFonts w:hint="eastAsia"/>
        </w:rPr>
        <w:t>伊茲尼克</w:t>
      </w:r>
      <w:proofErr w:type="gramEnd"/>
      <w:r>
        <w:rPr>
          <w:rFonts w:hint="eastAsia"/>
        </w:rPr>
        <w:t>位於伊斯坦堡南端，所產製的陶瓷器以之為名。自西元1480年至1600年前後，</w:t>
      </w:r>
      <w:proofErr w:type="gramStart"/>
      <w:r>
        <w:rPr>
          <w:rFonts w:hint="eastAsia"/>
        </w:rPr>
        <w:t>伊茲尼克</w:t>
      </w:r>
      <w:proofErr w:type="gramEnd"/>
      <w:r>
        <w:rPr>
          <w:rFonts w:hint="eastAsia"/>
        </w:rPr>
        <w:t>的工坊為鄂圖曼宮廷製作器皿，其技術與風格皆屬上乘。其細緻的設計，是伊斯蘭流行的藝術形式之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</w:p>
    <w:p w:rsidR="00254603" w:rsidRPr="00254603" w:rsidRDefault="00254603">
      <w:pPr>
        <w:pStyle w:val="1"/>
        <w:divId w:val="980309510"/>
      </w:pPr>
    </w:p>
    <w:p w:rsidR="00000000" w:rsidRDefault="00254603">
      <w:pPr>
        <w:pStyle w:val="3"/>
        <w:divId w:val="2007591587"/>
        <w:rPr>
          <w:rFonts w:hint="eastAsia"/>
        </w:rPr>
      </w:pPr>
      <w:r>
        <w:rPr>
          <w:rStyle w:val="mw-headline"/>
          <w:rFonts w:hint="eastAsia"/>
        </w:rPr>
        <w:t>希伯來星</w:t>
      </w:r>
      <w:r>
        <w:rPr>
          <w:rStyle w:val="mw-headline"/>
          <w:rFonts w:hint="eastAsia"/>
        </w:rPr>
        <w:t>盤</w:t>
      </w:r>
    </w:p>
    <w:p w:rsidR="00000000" w:rsidRDefault="00254603">
      <w:pPr>
        <w:pStyle w:val="Web"/>
        <w:divId w:val="2007591587"/>
        <w:rPr>
          <w:rFonts w:hint="eastAsia"/>
        </w:rPr>
      </w:pPr>
      <w:r>
        <w:rPr>
          <w:rFonts w:hint="eastAsia"/>
          <w:noProof/>
          <w:color w:val="0000FF"/>
        </w:rPr>
        <w:t>圖照</w:t>
      </w:r>
    </w:p>
    <w:p w:rsidR="00000000" w:rsidRDefault="00254603">
      <w:pPr>
        <w:pStyle w:val="Web"/>
        <w:divId w:val="2007591587"/>
        <w:rPr>
          <w:rFonts w:hint="eastAsia"/>
        </w:rPr>
      </w:pPr>
      <w:r>
        <w:rPr>
          <w:rFonts w:hint="eastAsia"/>
        </w:rPr>
        <w:t>此星盤來自西班牙，中世紀的西班牙是融合了基督徒、猶太人與回教徒，因此營造出比較濃厚的學術思辨氛圍，也使數學及科學產生前所未有的進步。而這個科學儀器被稱為星盤，可以用於導航、數學運算、測算星象及估算時間。</w:t>
      </w:r>
      <w:r>
        <w:rPr>
          <w:rFonts w:hint="eastAsia"/>
        </w:rPr>
        <w:t xml:space="preserve"> </w:t>
      </w:r>
    </w:p>
    <w:p w:rsidR="00254603" w:rsidRDefault="00254603">
      <w:pPr>
        <w:pStyle w:val="Web"/>
        <w:divId w:val="2007591587"/>
        <w:rPr>
          <w:rFonts w:hint="eastAsia"/>
        </w:rPr>
      </w:pPr>
    </w:p>
    <w:p w:rsidR="00254603" w:rsidRDefault="00254603" w:rsidP="00254603">
      <w:pPr>
        <w:pStyle w:val="3"/>
        <w:divId w:val="2007591587"/>
        <w:rPr>
          <w:rFonts w:hint="eastAsia"/>
        </w:rPr>
      </w:pPr>
      <w:r>
        <w:rPr>
          <w:rStyle w:val="mw-headline"/>
          <w:rFonts w:hint="eastAsia"/>
        </w:rPr>
        <w:t>大</w:t>
      </w:r>
      <w:proofErr w:type="gramStart"/>
      <w:r>
        <w:rPr>
          <w:rStyle w:val="mw-headline"/>
          <w:rFonts w:hint="eastAsia"/>
        </w:rPr>
        <w:t>明寶鈔</w:t>
      </w:r>
      <w:proofErr w:type="gramEnd"/>
    </w:p>
    <w:p w:rsidR="00254603" w:rsidRDefault="00254603" w:rsidP="00254603">
      <w:pPr>
        <w:pStyle w:val="Web"/>
        <w:divId w:val="2007591587"/>
        <w:rPr>
          <w:rFonts w:hint="eastAsia"/>
        </w:rPr>
      </w:pPr>
      <w:r>
        <w:rPr>
          <w:rFonts w:hint="eastAsia"/>
          <w:noProof/>
          <w:color w:val="0000FF"/>
        </w:rPr>
        <w:t>圖照</w:t>
      </w:r>
    </w:p>
    <w:p w:rsidR="00254603" w:rsidRDefault="00254603" w:rsidP="00254603">
      <w:pPr>
        <w:pStyle w:val="Web"/>
        <w:divId w:val="2007591587"/>
        <w:rPr>
          <w:rFonts w:hint="eastAsia"/>
        </w:rPr>
      </w:pPr>
      <w:r>
        <w:rPr>
          <w:rFonts w:hint="eastAsia"/>
        </w:rPr>
        <w:br/>
        <w:t>大</w:t>
      </w:r>
      <w:proofErr w:type="gramStart"/>
      <w:r>
        <w:rPr>
          <w:rFonts w:hint="eastAsia"/>
        </w:rPr>
        <w:t>明寶鈔</w:t>
      </w:r>
      <w:proofErr w:type="gramEnd"/>
      <w:r>
        <w:rPr>
          <w:rFonts w:hint="eastAsia"/>
        </w:rPr>
        <w:t>是明朝官方發行的唯一紙幣，該</w:t>
      </w:r>
      <w:proofErr w:type="gramStart"/>
      <w:r>
        <w:rPr>
          <w:rFonts w:hint="eastAsia"/>
        </w:rPr>
        <w:t>紙幣貫行於</w:t>
      </w:r>
      <w:proofErr w:type="gramEnd"/>
      <w:r>
        <w:rPr>
          <w:rFonts w:hint="eastAsia"/>
        </w:rPr>
        <w:t>明朝二百七十多年。明太祖洪武八年（1375年）</w:t>
      </w:r>
      <w:proofErr w:type="gramStart"/>
      <w:r>
        <w:rPr>
          <w:rFonts w:hint="eastAsia"/>
        </w:rPr>
        <w:t>始造</w:t>
      </w:r>
      <w:proofErr w:type="gramEnd"/>
      <w:r>
        <w:rPr>
          <w:rFonts w:hint="eastAsia"/>
        </w:rPr>
        <w:t>。由於</w:t>
      </w:r>
      <w:proofErr w:type="gramStart"/>
      <w:r>
        <w:rPr>
          <w:rFonts w:hint="eastAsia"/>
        </w:rPr>
        <w:t>當時缺銅</w:t>
      </w:r>
      <w:proofErr w:type="gramEnd"/>
      <w:r>
        <w:rPr>
          <w:rFonts w:hint="eastAsia"/>
        </w:rPr>
        <w:t>，於是明洪武七年頒布「</w:t>
      </w:r>
      <w:proofErr w:type="gramStart"/>
      <w:r>
        <w:rPr>
          <w:rFonts w:hint="eastAsia"/>
        </w:rPr>
        <w:t>鈔法</w:t>
      </w:r>
      <w:proofErr w:type="gramEnd"/>
      <w:r>
        <w:rPr>
          <w:rFonts w:hint="eastAsia"/>
        </w:rPr>
        <w:t>」，</w:t>
      </w:r>
      <w:proofErr w:type="gramStart"/>
      <w:r>
        <w:rPr>
          <w:rFonts w:hint="eastAsia"/>
        </w:rPr>
        <w:t>設寶鈔</w:t>
      </w:r>
      <w:proofErr w:type="gramEnd"/>
      <w:r>
        <w:rPr>
          <w:rFonts w:hint="eastAsia"/>
        </w:rPr>
        <w:t>提舉司，其下</w:t>
      </w:r>
      <w:proofErr w:type="gramStart"/>
      <w:r>
        <w:rPr>
          <w:rFonts w:hint="eastAsia"/>
        </w:rPr>
        <w:t>再設抄紙</w:t>
      </w:r>
      <w:proofErr w:type="gramEnd"/>
      <w:r>
        <w:rPr>
          <w:rFonts w:hint="eastAsia"/>
        </w:rPr>
        <w:t>、印鈔二局</w:t>
      </w:r>
      <w:proofErr w:type="gramStart"/>
      <w:r>
        <w:rPr>
          <w:rFonts w:hint="eastAsia"/>
        </w:rPr>
        <w:t>和寶鈔</w:t>
      </w:r>
      <w:proofErr w:type="gramEnd"/>
      <w:r>
        <w:rPr>
          <w:rFonts w:hint="eastAsia"/>
        </w:rPr>
        <w:t>、行用二庫。並於次年以</w:t>
      </w:r>
      <w:proofErr w:type="gramStart"/>
      <w:r>
        <w:rPr>
          <w:rFonts w:hint="eastAsia"/>
        </w:rPr>
        <w:t>中書省南京</w:t>
      </w:r>
      <w:proofErr w:type="gramEnd"/>
      <w:r>
        <w:rPr>
          <w:rFonts w:hint="eastAsia"/>
        </w:rPr>
        <w:t>名義發行。 大</w:t>
      </w:r>
      <w:proofErr w:type="gramStart"/>
      <w:r>
        <w:rPr>
          <w:rFonts w:hint="eastAsia"/>
        </w:rPr>
        <w:t>明寶鈔印框高</w:t>
      </w:r>
      <w:proofErr w:type="gramEnd"/>
      <w:r>
        <w:rPr>
          <w:rFonts w:hint="eastAsia"/>
        </w:rPr>
        <w:t>約30厘米、寬約20厘米，是世界上面積最大的紙幣。</w:t>
      </w:r>
      <w:proofErr w:type="gramStart"/>
      <w:r>
        <w:rPr>
          <w:rFonts w:hint="eastAsia"/>
        </w:rPr>
        <w:t>寶鈔分</w:t>
      </w:r>
      <w:proofErr w:type="gramEnd"/>
      <w:r>
        <w:rPr>
          <w:rFonts w:hint="eastAsia"/>
        </w:rPr>
        <w:t>六等：</w:t>
      </w:r>
      <w:proofErr w:type="gramStart"/>
      <w:r>
        <w:rPr>
          <w:rFonts w:hint="eastAsia"/>
        </w:rPr>
        <w:t>壹貫</w:t>
      </w:r>
      <w:proofErr w:type="gramEnd"/>
      <w:r>
        <w:rPr>
          <w:rFonts w:hint="eastAsia"/>
        </w:rPr>
        <w:t>、五百文、四百文、三百文、二百文、一百文，一貫等於銅錢一千文或白銀一兩，票面上端為「大明</w:t>
      </w:r>
      <w:proofErr w:type="gramStart"/>
      <w:r>
        <w:rPr>
          <w:rFonts w:hint="eastAsia"/>
        </w:rPr>
        <w:t>通行寶鈔</w:t>
      </w:r>
      <w:proofErr w:type="gramEnd"/>
      <w:r>
        <w:rPr>
          <w:rFonts w:hint="eastAsia"/>
        </w:rPr>
        <w:t>」六個漢字。 大</w:t>
      </w:r>
      <w:proofErr w:type="gramStart"/>
      <w:r>
        <w:rPr>
          <w:rFonts w:hint="eastAsia"/>
        </w:rPr>
        <w:t>明寶鈔</w:t>
      </w:r>
      <w:proofErr w:type="gramEnd"/>
      <w:r>
        <w:rPr>
          <w:rFonts w:hint="eastAsia"/>
        </w:rPr>
        <w:t>作為一種經典的中國古代紙幣非常收到收藏者的青睞，因此大</w:t>
      </w:r>
      <w:proofErr w:type="gramStart"/>
      <w:r>
        <w:rPr>
          <w:rFonts w:hint="eastAsia"/>
        </w:rPr>
        <w:t>明寶鈔</w:t>
      </w:r>
      <w:proofErr w:type="gramEnd"/>
      <w:r>
        <w:rPr>
          <w:rFonts w:hint="eastAsia"/>
        </w:rPr>
        <w:t>也同時成為不法分子偽造的主要對象之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。由於真的大</w:t>
      </w:r>
      <w:proofErr w:type="gramStart"/>
      <w:r>
        <w:rPr>
          <w:rFonts w:hint="eastAsia"/>
        </w:rPr>
        <w:t>明寶鈔</w:t>
      </w:r>
      <w:proofErr w:type="gramEnd"/>
      <w:r>
        <w:rPr>
          <w:rFonts w:hint="eastAsia"/>
        </w:rPr>
        <w:t>印刷技術並不複雜，無論是紙幣的紙張或者是油墨都不難仿製，現代的贗品已然可以以假亂真。大</w:t>
      </w:r>
      <w:proofErr w:type="gramStart"/>
      <w:r>
        <w:rPr>
          <w:rFonts w:hint="eastAsia"/>
        </w:rPr>
        <w:t>明寶鈔</w:t>
      </w:r>
      <w:proofErr w:type="gramEnd"/>
      <w:r>
        <w:rPr>
          <w:rFonts w:hint="eastAsia"/>
        </w:rPr>
        <w:t>真假難辨、玉龍混雜的狀況嚴重的影響了它的經濟價值，因此</w:t>
      </w:r>
      <w:proofErr w:type="gramStart"/>
      <w:r>
        <w:rPr>
          <w:rFonts w:hint="eastAsia"/>
        </w:rPr>
        <w:t>此</w:t>
      </w:r>
      <w:proofErr w:type="gramEnd"/>
      <w:r>
        <w:rPr>
          <w:rFonts w:hint="eastAsia"/>
        </w:rPr>
        <w:t xml:space="preserve">幣的市場價值並不是很高，一般拍賣的成交價格都在五萬到十萬人民幣之間。 </w:t>
      </w:r>
    </w:p>
    <w:p w:rsidR="00254603" w:rsidRDefault="00254603">
      <w:pPr>
        <w:pStyle w:val="Web"/>
        <w:divId w:val="2007591587"/>
        <w:rPr>
          <w:rFonts w:hint="eastAsia"/>
        </w:rPr>
      </w:pPr>
    </w:p>
    <w:p w:rsidR="00254603" w:rsidRDefault="00254603" w:rsidP="00254603">
      <w:pPr>
        <w:pStyle w:val="3"/>
        <w:divId w:val="2007591587"/>
        <w:rPr>
          <w:rFonts w:hint="eastAsia"/>
        </w:rPr>
      </w:pPr>
      <w:r>
        <w:rPr>
          <w:rStyle w:val="mw-headline"/>
          <w:rFonts w:hint="eastAsia"/>
        </w:rPr>
        <w:t>阿爾布雷希特·杜勒</w:t>
      </w:r>
    </w:p>
    <w:p w:rsidR="00254603" w:rsidRDefault="00254603" w:rsidP="00254603">
      <w:pPr>
        <w:pStyle w:val="Web"/>
        <w:divId w:val="2007591587"/>
        <w:rPr>
          <w:rFonts w:hint="eastAsia"/>
        </w:rPr>
      </w:pPr>
      <w:r>
        <w:rPr>
          <w:rFonts w:hint="eastAsia"/>
          <w:noProof/>
          <w:color w:val="0000FF"/>
        </w:rPr>
        <w:lastRenderedPageBreak/>
        <w:t>圖照</w:t>
      </w:r>
    </w:p>
    <w:p w:rsidR="00254603" w:rsidRDefault="00254603" w:rsidP="00254603">
      <w:pPr>
        <w:pStyle w:val="Web"/>
        <w:divId w:val="2007591587"/>
        <w:rPr>
          <w:rFonts w:hint="eastAsia"/>
        </w:rPr>
      </w:pPr>
      <w:r>
        <w:rPr>
          <w:rFonts w:hint="eastAsia"/>
        </w:rPr>
        <w:t>阿爾布雷希特·杜勒(1471年5月21日－1528年4月6日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 xml:space="preserve">德國中世紀末期、文藝復興時期著名的油畫家、版畫家、版畫家、雕塑家及藝術理論家。他在二十多歲時高水準的木刻版畫就已經使他稱譽歐洲，一般也認為他是北方文藝復興中最好的藝術家。他的作品包括祭壇、宗教作品、許多的人物畫及自畫像，以及銅版畫、木版畫，他的水彩畫也讓他成為第一位歐洲的風景畫畫家，而他的木刻版畫也帶來木刻版畫的創新。 </w:t>
      </w:r>
    </w:p>
    <w:p w:rsidR="00254603" w:rsidRDefault="00254603" w:rsidP="00254603">
      <w:pPr>
        <w:pStyle w:val="3"/>
        <w:divId w:val="2007591587"/>
        <w:rPr>
          <w:rFonts w:hint="eastAsia"/>
        </w:rPr>
      </w:pPr>
      <w:r>
        <w:rPr>
          <w:rStyle w:val="mw-headline"/>
          <w:rFonts w:hint="eastAsia"/>
        </w:rPr>
        <w:t>杜勒的犀牛</w:t>
      </w:r>
    </w:p>
    <w:p w:rsidR="00254603" w:rsidRDefault="00254603" w:rsidP="00254603">
      <w:pPr>
        <w:pStyle w:val="Web"/>
        <w:divId w:val="2007591587"/>
        <w:rPr>
          <w:rFonts w:hint="eastAsia"/>
        </w:rPr>
      </w:pPr>
      <w:r>
        <w:rPr>
          <w:rFonts w:hint="eastAsia"/>
          <w:noProof/>
          <w:color w:val="0000FF"/>
        </w:rPr>
        <w:t>圖照</w:t>
      </w:r>
    </w:p>
    <w:p w:rsidR="00254603" w:rsidRDefault="00254603" w:rsidP="00254603">
      <w:pPr>
        <w:pStyle w:val="Web"/>
        <w:divId w:val="2007591587"/>
        <w:rPr>
          <w:rFonts w:hint="eastAsia"/>
        </w:rPr>
      </w:pPr>
      <w:r>
        <w:rPr>
          <w:rFonts w:hint="eastAsia"/>
        </w:rPr>
        <w:t>是一幅由德國畫家兼版畫家阿爾布雷希特·杜勒於1515年作的木刻版畫。作品建基於一幅印度犀牛的素描，由不知名畫家所畫的，畫上並寫有描述。而畫中的犀牛則是早幾年來到里斯本的，是自從羅馬帝國以來第一個活生生的例子。然而，杜勒本人從沒見過那隻犀牛的實體。在1515年末，葡萄牙國王曼努埃爾一世把這隻動物送贈給教宗</w:t>
      </w:r>
      <w:proofErr w:type="gramStart"/>
      <w:r>
        <w:rPr>
          <w:rFonts w:hint="eastAsia"/>
        </w:rPr>
        <w:t>利奧十世</w:t>
      </w:r>
      <w:proofErr w:type="gramEnd"/>
      <w:r>
        <w:rPr>
          <w:rFonts w:hint="eastAsia"/>
        </w:rPr>
        <w:t>作為禮物，但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在1516年初一次在義大利海岸所發生的海難中死去。自此以後，歐洲再沒見過活生生的犀牛的紀錄，直至到1579年左右才有第二隻犀牛從印度進貢給西班牙的腓力二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 xml:space="preserve">。 </w:t>
      </w:r>
    </w:p>
    <w:p w:rsidR="00254603" w:rsidRDefault="00254603" w:rsidP="00254603">
      <w:pPr>
        <w:pStyle w:val="Web"/>
        <w:divId w:val="2007591587"/>
        <w:rPr>
          <w:rFonts w:hint="eastAsia"/>
        </w:rPr>
      </w:pPr>
      <w:r>
        <w:rPr>
          <w:rFonts w:hint="eastAsia"/>
        </w:rPr>
        <w:t>儘管畫中犀牛的構造並不正確，</w:t>
      </w:r>
      <w:proofErr w:type="gramStart"/>
      <w:r>
        <w:rPr>
          <w:rFonts w:hint="eastAsia"/>
        </w:rPr>
        <w:t>但丟勒</w:t>
      </w:r>
      <w:proofErr w:type="gramEnd"/>
      <w:r>
        <w:rPr>
          <w:rFonts w:hint="eastAsia"/>
        </w:rPr>
        <w:t xml:space="preserve">的版畫卻風靡了整個歐洲，並在接下來的三個世紀被大量拷貝。在十八世紀晚期以前，這幅畫依然被認為是表達著犀牛的真正模樣。最終，作品被後來一些更真實的素描與繪畫所取代。有人曾這樣說：「再沒有動物圖畫像《杜勒的犀牛》般對於藝術影響深厚。」 </w:t>
      </w:r>
    </w:p>
    <w:p w:rsidR="00254603" w:rsidRPr="00254603" w:rsidRDefault="00254603">
      <w:pPr>
        <w:pStyle w:val="Web"/>
        <w:divId w:val="2007591587"/>
        <w:rPr>
          <w:rFonts w:hint="eastAsia"/>
        </w:rPr>
      </w:pPr>
      <w:bookmarkStart w:id="0" w:name="_GoBack"/>
      <w:bookmarkEnd w:id="0"/>
    </w:p>
    <w:sectPr w:rsidR="00254603" w:rsidRPr="0025460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603" w:rsidRDefault="00254603" w:rsidP="00254603">
      <w:r>
        <w:separator/>
      </w:r>
    </w:p>
  </w:endnote>
  <w:endnote w:type="continuationSeparator" w:id="0">
    <w:p w:rsidR="00254603" w:rsidRDefault="00254603" w:rsidP="0025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603" w:rsidRDefault="00254603" w:rsidP="00254603">
      <w:r>
        <w:separator/>
      </w:r>
    </w:p>
  </w:footnote>
  <w:footnote w:type="continuationSeparator" w:id="0">
    <w:p w:rsidR="00254603" w:rsidRDefault="00254603" w:rsidP="0025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BF2"/>
    <w:multiLevelType w:val="multilevel"/>
    <w:tmpl w:val="46A2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B1526"/>
    <w:multiLevelType w:val="multilevel"/>
    <w:tmpl w:val="34B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903CE"/>
    <w:multiLevelType w:val="multilevel"/>
    <w:tmpl w:val="4A2C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92C8C"/>
    <w:multiLevelType w:val="multilevel"/>
    <w:tmpl w:val="869E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C1CCF"/>
    <w:multiLevelType w:val="multilevel"/>
    <w:tmpl w:val="B38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20D93"/>
    <w:multiLevelType w:val="multilevel"/>
    <w:tmpl w:val="076E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71764"/>
    <w:multiLevelType w:val="multilevel"/>
    <w:tmpl w:val="0BF4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C32873"/>
    <w:multiLevelType w:val="multilevel"/>
    <w:tmpl w:val="0042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14270F"/>
    <w:multiLevelType w:val="multilevel"/>
    <w:tmpl w:val="57C0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2466EE"/>
    <w:multiLevelType w:val="multilevel"/>
    <w:tmpl w:val="084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254603"/>
    <w:rsid w:val="0025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w-headline">
    <w:name w:val="mw-headline"/>
    <w:basedOn w:val="a0"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54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546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4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4603"/>
    <w:rPr>
      <w:rFonts w:ascii="新細明體" w:eastAsia="新細明體" w:hAnsi="新細明體" w:cs="新細明體"/>
    </w:rPr>
  </w:style>
  <w:style w:type="paragraph" w:styleId="a9">
    <w:name w:val="footer"/>
    <w:basedOn w:val="a"/>
    <w:link w:val="aa"/>
    <w:uiPriority w:val="99"/>
    <w:unhideWhenUsed/>
    <w:rsid w:val="00254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4603"/>
    <w:rPr>
      <w:rFonts w:ascii="新細明體" w:eastAsia="新細明體" w:hAnsi="新細明體" w:cs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mw-headline">
    <w:name w:val="mw-headline"/>
    <w:basedOn w:val="a0"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54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546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4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4603"/>
    <w:rPr>
      <w:rFonts w:ascii="新細明體" w:eastAsia="新細明體" w:hAnsi="新細明體" w:cs="新細明體"/>
    </w:rPr>
  </w:style>
  <w:style w:type="paragraph" w:styleId="a9">
    <w:name w:val="footer"/>
    <w:basedOn w:val="a"/>
    <w:link w:val="aa"/>
    <w:uiPriority w:val="99"/>
    <w:unhideWhenUsed/>
    <w:rsid w:val="00254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4603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19A0-F831-4E3E-943B-5C2ACE9E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1148</Words>
  <Characters>61</Characters>
  <Application>Microsoft Office Word</Application>
  <DocSecurity>0</DocSecurity>
  <Lines>1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沈昀羲/希伯來星盤 - 六年制學程</dc:title>
  <dc:creator>yamings</dc:creator>
  <cp:lastModifiedBy>yamings</cp:lastModifiedBy>
  <cp:revision>2</cp:revision>
  <dcterms:created xsi:type="dcterms:W3CDTF">2015-03-23T03:37:00Z</dcterms:created>
  <dcterms:modified xsi:type="dcterms:W3CDTF">2015-03-23T03:37:00Z</dcterms:modified>
</cp:coreProperties>
</file>